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/>
      </w:pPr>
      <w:r w:rsidDel="00000000" w:rsidR="00000000" w:rsidRPr="00000000">
        <w:rPr>
          <w:rtl w:val="0"/>
        </w:rPr>
        <w:t xml:space="preserve">HTML &amp; CSS | RWD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Meta Viewport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100513" cy="280607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0513" cy="2806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Opgave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nemmeste måde at se effekten af </w:t>
      </w:r>
      <w:r w:rsidDel="00000000" w:rsidR="00000000" w:rsidRPr="00000000">
        <w:rPr>
          <w:b w:val="1"/>
          <w:rtl w:val="0"/>
        </w:rPr>
        <w:t xml:space="preserve">meta viewport</w:t>
      </w:r>
      <w:r w:rsidDel="00000000" w:rsidR="00000000" w:rsidRPr="00000000">
        <w:rPr>
          <w:rtl w:val="0"/>
        </w:rPr>
        <w:t xml:space="preserve">, er at tilføje det til et eksisterende webprojekt, som ikke indeholder responsive webdesign.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al sin enkelthed er det det eneste, som opgaven går ud på.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Find et af dine tidligere webprojekter, som ikke indeholder responsive web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Åbn det i en mobilbrowser. Websitet vil blive nedskaleret, så det tilpasses skærmbredden, men bliver samtidig så småt, at det er ulæseligt (uden at zoome).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Tilføj &lt;meta&gt; tagget til &lt;head&gt; 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Åbn websitet igen og bemærk forskellen. Websitet nedskaleres ikke længere, men vises i et størrelsesforhold på 1:1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0F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 2</w:t>
          </w:r>
        </w:p>
        <w:p w:rsidR="00000000" w:rsidDel="00000000" w:rsidP="00000000" w:rsidRDefault="00000000" w:rsidRPr="00000000" w14:paraId="00000011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12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af Torben Colding </w:t>
          </w:r>
        </w:p>
        <w:p w:rsidR="00000000" w:rsidDel="00000000" w:rsidP="00000000" w:rsidRDefault="00000000" w:rsidRPr="00000000" w14:paraId="00000013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Opdateret i 2015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4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